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648CA" w14:textId="3EA178A8" w:rsidR="009D216C" w:rsidRDefault="003A1C70" w:rsidP="009D216C">
      <w:pPr>
        <w:pStyle w:val="MBCappendix-subhead"/>
      </w:pPr>
      <w:r>
        <w:t>Australian c</w:t>
      </w:r>
      <w:r w:rsidR="009D216C" w:rsidRPr="00AF5746">
        <w:t>riteria for assessment of significance of items and collections</w:t>
      </w:r>
    </w:p>
    <w:p w14:paraId="3314CF5B" w14:textId="28B6CC92" w:rsidR="003A1C70" w:rsidRPr="007B39A2" w:rsidRDefault="003A1C70" w:rsidP="009D216C">
      <w:pPr>
        <w:pStyle w:val="MBCappendix-subhead"/>
        <w:rPr>
          <w:bCs/>
          <w:sz w:val="20"/>
        </w:rPr>
      </w:pPr>
      <w:r w:rsidRPr="007B39A2">
        <w:rPr>
          <w:bCs/>
          <w:sz w:val="20"/>
        </w:rPr>
        <w:t>A</w:t>
      </w:r>
      <w:r w:rsidR="000F4212">
        <w:rPr>
          <w:bCs/>
          <w:sz w:val="20"/>
        </w:rPr>
        <w:t xml:space="preserve"> summary</w:t>
      </w:r>
      <w:r w:rsidRPr="007B39A2">
        <w:rPr>
          <w:bCs/>
          <w:sz w:val="20"/>
        </w:rPr>
        <w:t xml:space="preserve"> overview compiled by Margaret Birtley</w:t>
      </w:r>
      <w:r w:rsidR="00C61DF1" w:rsidRPr="007B39A2">
        <w:rPr>
          <w:bCs/>
          <w:sz w:val="20"/>
        </w:rPr>
        <w:t xml:space="preserve"> Consulting, with input from Significance International Pty Ltd.</w:t>
      </w:r>
    </w:p>
    <w:p w14:paraId="6D37EB48" w14:textId="516709B7" w:rsidR="007B39A2" w:rsidRPr="007B39A2" w:rsidRDefault="007B39A2" w:rsidP="007B39A2">
      <w:pPr>
        <w:pStyle w:val="MBCappendix-subhead"/>
        <w:pBdr>
          <w:bottom w:val="single" w:sz="4" w:space="1" w:color="auto"/>
        </w:pBdr>
        <w:rPr>
          <w:bCs/>
          <w:sz w:val="20"/>
        </w:rPr>
      </w:pPr>
      <w:r w:rsidRPr="007B39A2">
        <w:rPr>
          <w:bCs/>
          <w:sz w:val="20"/>
        </w:rPr>
        <w:t>18 February 202</w:t>
      </w:r>
      <w:r>
        <w:rPr>
          <w:bCs/>
          <w:sz w:val="20"/>
        </w:rPr>
        <w:t>o</w:t>
      </w:r>
      <w:r>
        <w:rPr>
          <w:bCs/>
          <w:sz w:val="20"/>
        </w:rPr>
        <w:br/>
      </w:r>
    </w:p>
    <w:p w14:paraId="540344C0" w14:textId="77777777" w:rsidR="009D216C" w:rsidRPr="00EE65AB" w:rsidRDefault="009D216C" w:rsidP="009D216C">
      <w:pPr>
        <w:pStyle w:val="MBCtext"/>
      </w:pPr>
      <w:r w:rsidRPr="00EE65AB">
        <w:t>Significance assessment is the process of researching and understanding the meanings and values that items and collections have for people and communities.</w:t>
      </w:r>
    </w:p>
    <w:p w14:paraId="1C714BA6" w14:textId="77777777" w:rsidR="009D216C" w:rsidRPr="00EE65AB" w:rsidRDefault="009D216C" w:rsidP="009D216C">
      <w:pPr>
        <w:pStyle w:val="MBCtext"/>
      </w:pPr>
      <w:r w:rsidRPr="00EE65AB">
        <w:t>Australia has a well-recognised system for assessing the significance of movable cultural heritage. The system is set out in two books:</w:t>
      </w:r>
    </w:p>
    <w:p w14:paraId="416FE73C" w14:textId="397549A1" w:rsidR="009D216C" w:rsidRPr="006B7E42" w:rsidRDefault="009D216C" w:rsidP="009D216C">
      <w:pPr>
        <w:pStyle w:val="MBCtext-indented0-75"/>
      </w:pPr>
      <w:r w:rsidRPr="00EE65AB">
        <w:rPr>
          <w:i/>
        </w:rPr>
        <w:t>Significance: a guide to assessing the significance of cultural heritage objects and collections</w:t>
      </w:r>
      <w:r w:rsidRPr="00EE65AB">
        <w:t>,</w:t>
      </w:r>
      <w:r w:rsidRPr="00EE65AB">
        <w:rPr>
          <w:i/>
        </w:rPr>
        <w:t xml:space="preserve"> </w:t>
      </w:r>
      <w:r w:rsidRPr="00EE65AB">
        <w:t>(Heritage Collections Council, Canberra, 2001)</w:t>
      </w:r>
      <w:r w:rsidRPr="006B7E42">
        <w:t xml:space="preserve"> (</w:t>
      </w:r>
      <w:hyperlink r:id="rId5" w:tgtFrame="_blank" w:history="1">
        <w:r w:rsidR="00DD322D" w:rsidRPr="003768DC">
          <w:rPr>
            <w:rStyle w:val="Hyperlink"/>
          </w:rPr>
          <w:t>PDF</w:t>
        </w:r>
        <w:r w:rsidR="00BB0923" w:rsidRPr="003768DC">
          <w:rPr>
            <w:rStyle w:val="Hyperlink"/>
          </w:rPr>
          <w:t xml:space="preserve"> </w:t>
        </w:r>
        <w:r w:rsidR="00DD322D" w:rsidRPr="003768DC">
          <w:rPr>
            <w:rStyle w:val="Hyperlink"/>
          </w:rPr>
          <w:t>version</w:t>
        </w:r>
      </w:hyperlink>
      <w:r w:rsidR="00DD322D" w:rsidRPr="003768DC">
        <w:rPr>
          <w:rStyle w:val="Hyperlink"/>
        </w:rPr>
        <w:t>)</w:t>
      </w:r>
    </w:p>
    <w:p w14:paraId="7D06D105" w14:textId="77777777" w:rsidR="009D216C" w:rsidRPr="006B7E42" w:rsidRDefault="009D216C" w:rsidP="009D216C">
      <w:pPr>
        <w:pStyle w:val="MBCtext-indented0-75"/>
      </w:pPr>
      <w:r w:rsidRPr="006B7E42">
        <w:rPr>
          <w:i/>
        </w:rPr>
        <w:t>Significance 2.0: a guide to assessing the significance of collections</w:t>
      </w:r>
      <w:r w:rsidRPr="006B7E42">
        <w:t>, by Roslyn Russell and Kylie Winkworth, (Collections Council of Australia, Adelaide, 2009) (</w:t>
      </w:r>
      <w:hyperlink r:id="rId6" w:history="1">
        <w:r w:rsidRPr="006B7E42">
          <w:rPr>
            <w:rStyle w:val="Hyperlink"/>
          </w:rPr>
          <w:t>PDF version</w:t>
        </w:r>
      </w:hyperlink>
      <w:r w:rsidRPr="006B7E42">
        <w:t>)</w:t>
      </w:r>
    </w:p>
    <w:p w14:paraId="098DA00F" w14:textId="77777777" w:rsidR="009D216C" w:rsidRPr="00EE65AB" w:rsidRDefault="009D216C" w:rsidP="009D216C">
      <w:pPr>
        <w:pStyle w:val="MBCtext"/>
      </w:pPr>
      <w:r w:rsidRPr="00EE65AB">
        <w:t>The Australian approach uses eight criteria (or key values) to help reveal and describe how and why the item is significant. There are four Primary criteria and four Comparative criteria:</w:t>
      </w:r>
    </w:p>
    <w:p w14:paraId="19422104" w14:textId="77777777" w:rsidR="009D216C" w:rsidRPr="00EE65AB" w:rsidRDefault="009D216C" w:rsidP="009D216C">
      <w:pPr>
        <w:pStyle w:val="MBCtext-subhead"/>
      </w:pPr>
      <w:r w:rsidRPr="00EE65AB">
        <w:t xml:space="preserve">Primary criteria </w:t>
      </w:r>
    </w:p>
    <w:p w14:paraId="18F94775" w14:textId="77777777" w:rsidR="009D216C" w:rsidRPr="00EE65AB" w:rsidRDefault="009D216C" w:rsidP="009D216C">
      <w:pPr>
        <w:pStyle w:val="MBCbullet"/>
      </w:pPr>
      <w:r w:rsidRPr="00EE65AB">
        <w:rPr>
          <w:b/>
        </w:rPr>
        <w:t>Historic</w:t>
      </w:r>
      <w:r w:rsidRPr="00EE65AB">
        <w:t xml:space="preserve">. An item or collection may be historically significant for its association with people, events, </w:t>
      </w:r>
      <w:proofErr w:type="gramStart"/>
      <w:r w:rsidRPr="00EE65AB">
        <w:t>places</w:t>
      </w:r>
      <w:proofErr w:type="gramEnd"/>
      <w:r w:rsidRPr="00EE65AB">
        <w:t xml:space="preserve"> and themes. Historically significant items range from those associated with notable people and important events, to objects of daily life used by ordinary people. They include items that are typical of particular activities, </w:t>
      </w:r>
      <w:proofErr w:type="gramStart"/>
      <w:r w:rsidRPr="00EE65AB">
        <w:t>industries</w:t>
      </w:r>
      <w:proofErr w:type="gramEnd"/>
      <w:r w:rsidRPr="00EE65AB">
        <w:t xml:space="preserve"> or ways of living. Historically significant items may be mass produced, unique, </w:t>
      </w:r>
      <w:proofErr w:type="gramStart"/>
      <w:r w:rsidRPr="00EE65AB">
        <w:t>precious</w:t>
      </w:r>
      <w:proofErr w:type="gramEnd"/>
      <w:r w:rsidRPr="00EE65AB">
        <w:t xml:space="preserve"> or handmade.</w:t>
      </w:r>
    </w:p>
    <w:p w14:paraId="2E372567" w14:textId="77777777" w:rsidR="009D216C" w:rsidRPr="00EE65AB" w:rsidRDefault="009D216C" w:rsidP="009D216C">
      <w:pPr>
        <w:pStyle w:val="MBCbullet"/>
      </w:pPr>
      <w:r w:rsidRPr="00EE65AB">
        <w:rPr>
          <w:b/>
        </w:rPr>
        <w:t>Artistic or aesthetic</w:t>
      </w:r>
      <w:r w:rsidRPr="00EE65AB">
        <w:t>. An item may be artistically or aesthetically significant for its craftsmanship, style, technical excellence, beauty, demonstration of skill, and quality of design and execution. Artistically or aesthetically significant items may be unique or mass produced.</w:t>
      </w:r>
    </w:p>
    <w:p w14:paraId="14A2A85A" w14:textId="77777777" w:rsidR="009D216C" w:rsidRPr="00EE65AB" w:rsidRDefault="009D216C" w:rsidP="009D216C">
      <w:pPr>
        <w:pStyle w:val="MBCbullet"/>
      </w:pPr>
      <w:r w:rsidRPr="00EE65AB">
        <w:rPr>
          <w:b/>
        </w:rPr>
        <w:t>Scientific or research</w:t>
      </w:r>
      <w:r w:rsidRPr="00EE65AB">
        <w:t>. An item or collection may have research significance if it has a major potential for further scientific examination or study. This criterion tends to apply chiefly to biological, geological and archaeological material, but may also apply to documentary collections (</w:t>
      </w:r>
      <w:proofErr w:type="gramStart"/>
      <w:r w:rsidRPr="00EE65AB">
        <w:t>e.g.</w:t>
      </w:r>
      <w:proofErr w:type="gramEnd"/>
      <w:r w:rsidRPr="00EE65AB">
        <w:t xml:space="preserve"> archives and photographic material).</w:t>
      </w:r>
    </w:p>
    <w:p w14:paraId="3F21468F" w14:textId="77777777" w:rsidR="009D216C" w:rsidRPr="00EE65AB" w:rsidRDefault="009D216C" w:rsidP="009D216C">
      <w:pPr>
        <w:pStyle w:val="MBCbullet"/>
      </w:pPr>
      <w:r w:rsidRPr="00EE65AB">
        <w:rPr>
          <w:b/>
        </w:rPr>
        <w:t>Social or spiritual</w:t>
      </w:r>
      <w:r w:rsidRPr="00EE65AB">
        <w:t>. Items have social significance if they are held in community esteem. This may be demonstrated by social spiritual or cultural expressions that provide evidence of a community</w:t>
      </w:r>
      <w:r>
        <w:t>’</w:t>
      </w:r>
      <w:r w:rsidRPr="00EE65AB">
        <w:t>s strong affection for an item or collection, and of how it contributes to that community</w:t>
      </w:r>
      <w:r>
        <w:t>’</w:t>
      </w:r>
      <w:r w:rsidRPr="00EE65AB">
        <w:t>s identity and social cohesion. Items may acquire social significance with the passage of time and through particular events or activities that demonstrate present-day community esteem. Some items have intrinsic spiritual qualities for particular groups of people and belief systems, and are referred to as sacred objects. Social or spiritual significance is only for living, contemporary value, and is always specific to a particular identified group of people; if the social value has ceased to exist, the item may nevertheless hold historical significance.</w:t>
      </w:r>
    </w:p>
    <w:p w14:paraId="7A9CA8D3" w14:textId="77777777" w:rsidR="009D216C" w:rsidRPr="00EE65AB" w:rsidRDefault="009D216C" w:rsidP="009D216C">
      <w:pPr>
        <w:pStyle w:val="MBCspacer"/>
      </w:pPr>
    </w:p>
    <w:p w14:paraId="67058E6D" w14:textId="77777777" w:rsidR="009D216C" w:rsidRPr="00EE65AB" w:rsidRDefault="009D216C" w:rsidP="009D216C">
      <w:pPr>
        <w:pStyle w:val="MBCtext-subhead"/>
      </w:pPr>
      <w:r w:rsidRPr="00EE65AB">
        <w:lastRenderedPageBreak/>
        <w:t>Comparative criteria</w:t>
      </w:r>
    </w:p>
    <w:p w14:paraId="5B35DB77" w14:textId="77777777" w:rsidR="009D216C" w:rsidRPr="00EE65AB" w:rsidRDefault="009D216C" w:rsidP="009D216C">
      <w:pPr>
        <w:pStyle w:val="MBCbullet"/>
      </w:pPr>
      <w:r w:rsidRPr="00EE65AB">
        <w:rPr>
          <w:b/>
        </w:rPr>
        <w:t>Provenance</w:t>
      </w:r>
      <w:r w:rsidRPr="00EE65AB">
        <w:t xml:space="preserve">. Provenance means the chain of ownership and context of use of an item. Knowing this history enables a more precise assessment. Provenance is central to establishing historic and social significance. An item may be significant because its provenance – a documented history of its existence, </w:t>
      </w:r>
      <w:proofErr w:type="gramStart"/>
      <w:r w:rsidRPr="00EE65AB">
        <w:t>ownership</w:t>
      </w:r>
      <w:proofErr w:type="gramEnd"/>
      <w:r w:rsidRPr="00EE65AB">
        <w:t xml:space="preserve"> and use – gives it a context in society at large, or in the more personal world of a known individual.</w:t>
      </w:r>
    </w:p>
    <w:p w14:paraId="3C314557" w14:textId="77777777" w:rsidR="009D216C" w:rsidRPr="00EE65AB" w:rsidRDefault="009D216C" w:rsidP="009D216C">
      <w:pPr>
        <w:pStyle w:val="MBCbullet"/>
      </w:pPr>
      <w:r w:rsidRPr="00EE65AB">
        <w:rPr>
          <w:b/>
        </w:rPr>
        <w:t>Rarity or representativeness</w:t>
      </w:r>
      <w:r w:rsidRPr="00EE65AB">
        <w:t xml:space="preserve">. An item may be significant either as a rare, </w:t>
      </w:r>
      <w:proofErr w:type="gramStart"/>
      <w:r w:rsidRPr="00EE65AB">
        <w:t>unusual</w:t>
      </w:r>
      <w:proofErr w:type="gramEnd"/>
      <w:r w:rsidRPr="00EE65AB">
        <w:t xml:space="preserve"> or particularly fine example of its type, or because it represents a particular category of objects, or activity, way of life or historical theme. It is possible for an object</w:t>
      </w:r>
      <w:r>
        <w:t>’</w:t>
      </w:r>
      <w:r w:rsidRPr="00EE65AB">
        <w:t>s significance to be rated as both rare and representative.</w:t>
      </w:r>
    </w:p>
    <w:p w14:paraId="493DDDAB" w14:textId="77777777" w:rsidR="009D216C" w:rsidRPr="00EE65AB" w:rsidRDefault="009D216C" w:rsidP="009D216C">
      <w:pPr>
        <w:pStyle w:val="MBCbullet"/>
      </w:pPr>
      <w:r w:rsidRPr="00EE65AB">
        <w:rPr>
          <w:b/>
        </w:rPr>
        <w:t>Condition or completeness</w:t>
      </w:r>
      <w:r w:rsidRPr="00EE65AB">
        <w:t>. An item may be significant because it is unusually complete, or in sound, original condition (that is, possesses intactness or integrity). Changes or adaptations made in the working life of an item do not necessarily diminish significance, and in fact are also recognised as an integral part of the item and its history.</w:t>
      </w:r>
    </w:p>
    <w:p w14:paraId="656DB266" w14:textId="77777777" w:rsidR="009D216C" w:rsidRPr="00EE65AB" w:rsidRDefault="009D216C" w:rsidP="009D216C">
      <w:pPr>
        <w:pStyle w:val="MBCbullet"/>
      </w:pPr>
      <w:r w:rsidRPr="00EE65AB">
        <w:rPr>
          <w:b/>
        </w:rPr>
        <w:t>Interpretative capacity</w:t>
      </w:r>
      <w:r w:rsidRPr="00EE65AB">
        <w:t xml:space="preserve">. Items and collections may be significant for their capacity to interpret and demonstrate aspects of experience, historical themes, </w:t>
      </w:r>
      <w:proofErr w:type="gramStart"/>
      <w:r w:rsidRPr="00EE65AB">
        <w:t>people</w:t>
      </w:r>
      <w:proofErr w:type="gramEnd"/>
      <w:r w:rsidRPr="00EE65AB">
        <w:t xml:space="preserve"> and activities. Some items may have </w:t>
      </w:r>
      <w:proofErr w:type="gramStart"/>
      <w:r w:rsidRPr="00EE65AB">
        <w:t>very limited</w:t>
      </w:r>
      <w:proofErr w:type="gramEnd"/>
      <w:r w:rsidRPr="00EE65AB">
        <w:t xml:space="preserve"> significance under the primary criteria but are significant for their potential to enable the owner to interpret and illustrate particular themes, people or ideas.</w:t>
      </w:r>
    </w:p>
    <w:p w14:paraId="3C61E59F" w14:textId="77777777" w:rsidR="009D216C" w:rsidRPr="00EE65AB" w:rsidRDefault="009D216C" w:rsidP="009D216C">
      <w:pPr>
        <w:pStyle w:val="MBCspacer"/>
      </w:pPr>
    </w:p>
    <w:p w14:paraId="6E1FD765" w14:textId="77777777" w:rsidR="00566F0C" w:rsidRPr="00D57427" w:rsidRDefault="00566F0C" w:rsidP="00D57427">
      <w:pPr>
        <w:pStyle w:val="MBCtext-subhead"/>
      </w:pPr>
      <w:r w:rsidRPr="00D57427">
        <w:t>The Statement of Significance</w:t>
      </w:r>
    </w:p>
    <w:p w14:paraId="56974204" w14:textId="77777777" w:rsidR="00566F0C" w:rsidRPr="008737DE" w:rsidRDefault="00566F0C" w:rsidP="00566F0C">
      <w:pPr>
        <w:pStyle w:val="MBCtext"/>
      </w:pPr>
      <w:r w:rsidRPr="008737DE">
        <w:t>After</w:t>
      </w:r>
      <w:r>
        <w:t xml:space="preserve"> </w:t>
      </w:r>
      <w:r w:rsidRPr="008737DE">
        <w:t>a</w:t>
      </w:r>
      <w:r>
        <w:t xml:space="preserve"> </w:t>
      </w:r>
      <w:r w:rsidRPr="008737DE">
        <w:t>ten-step</w:t>
      </w:r>
      <w:r>
        <w:t xml:space="preserve"> </w:t>
      </w:r>
      <w:r w:rsidRPr="008737DE">
        <w:t>process</w:t>
      </w:r>
      <w:r>
        <w:t xml:space="preserve"> </w:t>
      </w:r>
      <w:r w:rsidRPr="008737DE">
        <w:t>of</w:t>
      </w:r>
      <w:r>
        <w:t xml:space="preserve"> </w:t>
      </w:r>
      <w:r w:rsidRPr="008737DE">
        <w:t>research</w:t>
      </w:r>
      <w:r>
        <w:t xml:space="preserve"> </w:t>
      </w:r>
      <w:r w:rsidRPr="008737DE">
        <w:t>that</w:t>
      </w:r>
      <w:r>
        <w:t xml:space="preserve"> </w:t>
      </w:r>
      <w:r w:rsidRPr="008737DE">
        <w:t>includes</w:t>
      </w:r>
      <w:r>
        <w:t xml:space="preserve"> </w:t>
      </w:r>
      <w:r w:rsidRPr="008737DE">
        <w:t>consultation</w:t>
      </w:r>
      <w:r>
        <w:t xml:space="preserve"> </w:t>
      </w:r>
      <w:r w:rsidRPr="008737DE">
        <w:t>with</w:t>
      </w:r>
      <w:r>
        <w:t xml:space="preserve"> </w:t>
      </w:r>
      <w:r w:rsidRPr="008737DE">
        <w:t>knowledgeable</w:t>
      </w:r>
      <w:r>
        <w:t xml:space="preserve"> </w:t>
      </w:r>
      <w:r w:rsidRPr="008737DE">
        <w:t>people,</w:t>
      </w:r>
      <w:r>
        <w:t xml:space="preserve"> </w:t>
      </w:r>
      <w:r w:rsidRPr="008737DE">
        <w:t>the</w:t>
      </w:r>
      <w:r>
        <w:t xml:space="preserve"> </w:t>
      </w:r>
      <w:r w:rsidRPr="008737DE">
        <w:t>assessor</w:t>
      </w:r>
      <w:r>
        <w:t xml:space="preserve"> </w:t>
      </w:r>
      <w:r w:rsidRPr="008737DE">
        <w:t>records</w:t>
      </w:r>
      <w:r>
        <w:t xml:space="preserve"> </w:t>
      </w:r>
      <w:r w:rsidRPr="008737DE">
        <w:t>which</w:t>
      </w:r>
      <w:r>
        <w:t xml:space="preserve"> </w:t>
      </w:r>
      <w:r w:rsidRPr="008737DE">
        <w:t>criteria</w:t>
      </w:r>
      <w:r>
        <w:t xml:space="preserve"> </w:t>
      </w:r>
      <w:r w:rsidRPr="008737DE">
        <w:t>(or</w:t>
      </w:r>
      <w:r>
        <w:t xml:space="preserve"> </w:t>
      </w:r>
      <w:r w:rsidRPr="008737DE">
        <w:t>values)</w:t>
      </w:r>
      <w:r>
        <w:t xml:space="preserve"> </w:t>
      </w:r>
      <w:r w:rsidRPr="008737DE">
        <w:t>apply</w:t>
      </w:r>
      <w:r>
        <w:t xml:space="preserve"> </w:t>
      </w:r>
      <w:r w:rsidRPr="008737DE">
        <w:t>to</w:t>
      </w:r>
      <w:r>
        <w:t xml:space="preserve"> </w:t>
      </w:r>
      <w:r w:rsidRPr="008737DE">
        <w:t>the</w:t>
      </w:r>
      <w:r>
        <w:t xml:space="preserve"> </w:t>
      </w:r>
      <w:r w:rsidRPr="008737DE">
        <w:t>item</w:t>
      </w:r>
      <w:r>
        <w:t xml:space="preserve"> </w:t>
      </w:r>
      <w:r w:rsidRPr="008737DE">
        <w:t>or</w:t>
      </w:r>
      <w:r>
        <w:t xml:space="preserve"> </w:t>
      </w:r>
      <w:r w:rsidRPr="008737DE">
        <w:t>collection.</w:t>
      </w:r>
      <w:r>
        <w:t xml:space="preserve"> </w:t>
      </w:r>
      <w:r w:rsidRPr="008737DE">
        <w:t>The</w:t>
      </w:r>
      <w:r>
        <w:t xml:space="preserve"> </w:t>
      </w:r>
      <w:r w:rsidRPr="008737DE">
        <w:t>resulting</w:t>
      </w:r>
      <w:r>
        <w:t xml:space="preserve"> </w:t>
      </w:r>
      <w:r w:rsidRPr="008737DE">
        <w:t>significance</w:t>
      </w:r>
      <w:r>
        <w:t xml:space="preserve"> </w:t>
      </w:r>
      <w:r w:rsidRPr="008737DE">
        <w:t>is</w:t>
      </w:r>
      <w:r>
        <w:t xml:space="preserve"> </w:t>
      </w:r>
      <w:r w:rsidRPr="008737DE">
        <w:t>the</w:t>
      </w:r>
      <w:r>
        <w:t xml:space="preserve"> </w:t>
      </w:r>
      <w:r w:rsidRPr="008737DE">
        <w:t>sum</w:t>
      </w:r>
      <w:r>
        <w:t xml:space="preserve"> </w:t>
      </w:r>
      <w:r w:rsidRPr="008737DE">
        <w:t>of</w:t>
      </w:r>
      <w:r>
        <w:t xml:space="preserve"> </w:t>
      </w:r>
      <w:r w:rsidRPr="008737DE">
        <w:t>all</w:t>
      </w:r>
      <w:r>
        <w:t xml:space="preserve"> </w:t>
      </w:r>
      <w:r w:rsidRPr="008737DE">
        <w:t>applicable</w:t>
      </w:r>
      <w:r>
        <w:t xml:space="preserve"> </w:t>
      </w:r>
      <w:r w:rsidRPr="008737DE">
        <w:t>values</w:t>
      </w:r>
      <w:r>
        <w:t xml:space="preserve"> </w:t>
      </w:r>
      <w:r w:rsidRPr="008737DE">
        <w:t>and</w:t>
      </w:r>
      <w:r>
        <w:t xml:space="preserve"> </w:t>
      </w:r>
      <w:r w:rsidRPr="008737DE">
        <w:t>is</w:t>
      </w:r>
      <w:r>
        <w:t xml:space="preserve"> </w:t>
      </w:r>
      <w:r w:rsidRPr="008737DE">
        <w:t>expressed</w:t>
      </w:r>
      <w:r>
        <w:t xml:space="preserve"> </w:t>
      </w:r>
      <w:r w:rsidRPr="008737DE">
        <w:t>in</w:t>
      </w:r>
      <w:r>
        <w:t xml:space="preserve"> </w:t>
      </w:r>
      <w:r w:rsidRPr="008737DE">
        <w:t>a</w:t>
      </w:r>
      <w:r>
        <w:t xml:space="preserve"> </w:t>
      </w:r>
      <w:r w:rsidRPr="008737DE">
        <w:t>lucidly</w:t>
      </w:r>
      <w:r>
        <w:t xml:space="preserve"> </w:t>
      </w:r>
      <w:r w:rsidRPr="008737DE">
        <w:t>written</w:t>
      </w:r>
      <w:r>
        <w:t xml:space="preserve"> ‘</w:t>
      </w:r>
      <w:r w:rsidRPr="008737DE">
        <w:t>Statement</w:t>
      </w:r>
      <w:r>
        <w:t xml:space="preserve"> </w:t>
      </w:r>
      <w:r w:rsidRPr="008737DE">
        <w:t>of</w:t>
      </w:r>
      <w:r>
        <w:t xml:space="preserve"> </w:t>
      </w:r>
      <w:r w:rsidRPr="008737DE">
        <w:t>Significance</w:t>
      </w:r>
      <w:r>
        <w:t xml:space="preserve">’ </w:t>
      </w:r>
      <w:r w:rsidRPr="008737DE">
        <w:t>(SOS),</w:t>
      </w:r>
      <w:r>
        <w:t xml:space="preserve"> </w:t>
      </w:r>
      <w:r w:rsidRPr="008737DE">
        <w:t>which</w:t>
      </w:r>
      <w:r>
        <w:t xml:space="preserve"> </w:t>
      </w:r>
      <w:r w:rsidRPr="008737DE">
        <w:t>is</w:t>
      </w:r>
      <w:r>
        <w:t xml:space="preserve"> </w:t>
      </w:r>
      <w:r w:rsidRPr="008737DE">
        <w:t>signed</w:t>
      </w:r>
      <w:r>
        <w:t xml:space="preserve"> </w:t>
      </w:r>
      <w:r w:rsidRPr="008737DE">
        <w:t>and</w:t>
      </w:r>
      <w:r>
        <w:t xml:space="preserve"> </w:t>
      </w:r>
      <w:r w:rsidRPr="008737DE">
        <w:t>dated.</w:t>
      </w:r>
      <w:r>
        <w:t xml:space="preserve"> </w:t>
      </w:r>
    </w:p>
    <w:p w14:paraId="03CC64E7" w14:textId="77777777" w:rsidR="00566F0C" w:rsidRPr="008737DE" w:rsidRDefault="00566F0C" w:rsidP="00566F0C">
      <w:pPr>
        <w:pStyle w:val="MBCtext"/>
      </w:pPr>
      <w:r w:rsidRPr="008737DE">
        <w:t>It</w:t>
      </w:r>
      <w:r>
        <w:t xml:space="preserve"> </w:t>
      </w:r>
      <w:r w:rsidRPr="008737DE">
        <w:t>is</w:t>
      </w:r>
      <w:r>
        <w:t xml:space="preserve"> </w:t>
      </w:r>
      <w:r w:rsidRPr="008737DE">
        <w:t>important</w:t>
      </w:r>
      <w:r>
        <w:t xml:space="preserve"> </w:t>
      </w:r>
      <w:r w:rsidRPr="008737DE">
        <w:t>to</w:t>
      </w:r>
      <w:r>
        <w:t xml:space="preserve"> </w:t>
      </w:r>
      <w:r w:rsidRPr="008737DE">
        <w:t>note</w:t>
      </w:r>
      <w:r>
        <w:t xml:space="preserve"> </w:t>
      </w:r>
      <w:r w:rsidRPr="008737DE">
        <w:t>that</w:t>
      </w:r>
      <w:r>
        <w:t xml:space="preserve"> </w:t>
      </w:r>
      <w:r w:rsidRPr="008737DE">
        <w:t>perceptions</w:t>
      </w:r>
      <w:r>
        <w:t xml:space="preserve"> </w:t>
      </w:r>
      <w:r w:rsidRPr="008737DE">
        <w:t>and</w:t>
      </w:r>
      <w:r>
        <w:t xml:space="preserve"> </w:t>
      </w:r>
      <w:r w:rsidRPr="008737DE">
        <w:t>information</w:t>
      </w:r>
      <w:r>
        <w:t xml:space="preserve"> </w:t>
      </w:r>
      <w:r w:rsidRPr="008737DE">
        <w:t>change</w:t>
      </w:r>
      <w:r>
        <w:t xml:space="preserve"> </w:t>
      </w:r>
      <w:r w:rsidRPr="008737DE">
        <w:t>such</w:t>
      </w:r>
      <w:r>
        <w:t xml:space="preserve"> </w:t>
      </w:r>
      <w:r w:rsidRPr="008737DE">
        <w:t>that</w:t>
      </w:r>
      <w:r>
        <w:t xml:space="preserve"> </w:t>
      </w:r>
      <w:r w:rsidRPr="008737DE">
        <w:t>an</w:t>
      </w:r>
      <w:r>
        <w:t xml:space="preserve"> </w:t>
      </w:r>
      <w:r w:rsidRPr="008737DE">
        <w:t>item</w:t>
      </w:r>
      <w:r>
        <w:t xml:space="preserve"> </w:t>
      </w:r>
      <w:r w:rsidRPr="008737DE">
        <w:t>assessed</w:t>
      </w:r>
      <w:r>
        <w:t xml:space="preserve"> </w:t>
      </w:r>
      <w:r w:rsidRPr="008737DE">
        <w:t>as</w:t>
      </w:r>
      <w:r>
        <w:t xml:space="preserve"> </w:t>
      </w:r>
      <w:r w:rsidRPr="008737DE">
        <w:t>insignificant</w:t>
      </w:r>
      <w:r>
        <w:t xml:space="preserve"> </w:t>
      </w:r>
      <w:r w:rsidRPr="008737DE">
        <w:t>may</w:t>
      </w:r>
      <w:r>
        <w:t xml:space="preserve"> </w:t>
      </w:r>
      <w:r w:rsidRPr="008737DE">
        <w:t>be</w:t>
      </w:r>
      <w:r>
        <w:t xml:space="preserve"> </w:t>
      </w:r>
      <w:r w:rsidRPr="008737DE">
        <w:t>found</w:t>
      </w:r>
      <w:r>
        <w:t xml:space="preserve"> </w:t>
      </w:r>
      <w:r w:rsidRPr="008737DE">
        <w:t>to</w:t>
      </w:r>
      <w:r>
        <w:t xml:space="preserve"> </w:t>
      </w:r>
      <w:r w:rsidRPr="008737DE">
        <w:t>be</w:t>
      </w:r>
      <w:r>
        <w:t xml:space="preserve"> </w:t>
      </w:r>
      <w:r w:rsidRPr="008737DE">
        <w:t>of</w:t>
      </w:r>
      <w:r>
        <w:t xml:space="preserve"> </w:t>
      </w:r>
      <w:r w:rsidRPr="008737DE">
        <w:t>significance</w:t>
      </w:r>
      <w:r>
        <w:t xml:space="preserve"> </w:t>
      </w:r>
      <w:r w:rsidRPr="008737DE">
        <w:t>in</w:t>
      </w:r>
      <w:r>
        <w:t xml:space="preserve"> </w:t>
      </w:r>
      <w:r w:rsidRPr="008737DE">
        <w:t>the</w:t>
      </w:r>
      <w:r>
        <w:t xml:space="preserve"> </w:t>
      </w:r>
      <w:r w:rsidRPr="008737DE">
        <w:t>future,</w:t>
      </w:r>
      <w:r>
        <w:t xml:space="preserve"> </w:t>
      </w:r>
      <w:r w:rsidRPr="008737DE">
        <w:t>and</w:t>
      </w:r>
      <w:r>
        <w:t xml:space="preserve"> </w:t>
      </w:r>
      <w:r w:rsidRPr="008737DE">
        <w:t>vice</w:t>
      </w:r>
      <w:r>
        <w:t xml:space="preserve"> </w:t>
      </w:r>
      <w:r w:rsidRPr="008737DE">
        <w:t>versa.</w:t>
      </w:r>
    </w:p>
    <w:p w14:paraId="5347B667" w14:textId="76ADB993" w:rsidR="00566F0C" w:rsidRPr="008737DE" w:rsidRDefault="00566F0C" w:rsidP="00566F0C">
      <w:pPr>
        <w:pStyle w:val="MBCtext"/>
      </w:pPr>
      <w:r w:rsidRPr="008737DE">
        <w:t>Depending</w:t>
      </w:r>
      <w:r>
        <w:t xml:space="preserve"> </w:t>
      </w:r>
      <w:r w:rsidRPr="008737DE">
        <w:t>on</w:t>
      </w:r>
      <w:r>
        <w:t xml:space="preserve"> </w:t>
      </w:r>
      <w:r w:rsidRPr="008737DE">
        <w:t>the</w:t>
      </w:r>
      <w:r>
        <w:t xml:space="preserve"> </w:t>
      </w:r>
      <w:r w:rsidRPr="008737DE">
        <w:t>audience</w:t>
      </w:r>
      <w:r>
        <w:t xml:space="preserve">, </w:t>
      </w:r>
      <w:r w:rsidRPr="008737DE">
        <w:t>the</w:t>
      </w:r>
      <w:r>
        <w:t xml:space="preserve"> </w:t>
      </w:r>
      <w:r w:rsidRPr="008737DE">
        <w:t>SOS</w:t>
      </w:r>
      <w:r>
        <w:t xml:space="preserve"> </w:t>
      </w:r>
      <w:r w:rsidRPr="008737DE">
        <w:t>may</w:t>
      </w:r>
      <w:r>
        <w:t xml:space="preserve"> </w:t>
      </w:r>
      <w:r w:rsidRPr="008737DE">
        <w:t>identify:</w:t>
      </w:r>
    </w:p>
    <w:p w14:paraId="012D6803" w14:textId="77777777" w:rsidR="00566F0C" w:rsidRPr="008737DE" w:rsidRDefault="00566F0C" w:rsidP="00566F0C">
      <w:pPr>
        <w:pStyle w:val="MBCbullet"/>
        <w:ind w:left="360"/>
      </w:pPr>
      <w:r w:rsidRPr="008737DE">
        <w:t>The</w:t>
      </w:r>
      <w:r>
        <w:t xml:space="preserve"> </w:t>
      </w:r>
      <w:r w:rsidRPr="008737DE">
        <w:t>relative</w:t>
      </w:r>
      <w:r>
        <w:t xml:space="preserve"> </w:t>
      </w:r>
      <w:r w:rsidRPr="00C12D0E">
        <w:rPr>
          <w:i/>
          <w:iCs/>
        </w:rPr>
        <w:t>degree</w:t>
      </w:r>
      <w:r>
        <w:t xml:space="preserve"> </w:t>
      </w:r>
      <w:r w:rsidRPr="008737DE">
        <w:t>of</w:t>
      </w:r>
      <w:r>
        <w:t xml:space="preserve"> </w:t>
      </w:r>
      <w:r w:rsidRPr="008737DE">
        <w:t>significance</w:t>
      </w:r>
      <w:r>
        <w:t xml:space="preserve"> </w:t>
      </w:r>
      <w:r w:rsidRPr="008737DE">
        <w:t>(High</w:t>
      </w:r>
      <w:r>
        <w:t xml:space="preserve"> </w:t>
      </w:r>
      <w:r w:rsidRPr="008737DE">
        <w:t>/</w:t>
      </w:r>
      <w:r>
        <w:t xml:space="preserve"> </w:t>
      </w:r>
      <w:r w:rsidRPr="008737DE">
        <w:t>Medium</w:t>
      </w:r>
      <w:r>
        <w:t xml:space="preserve"> </w:t>
      </w:r>
      <w:r w:rsidRPr="008737DE">
        <w:t>/</w:t>
      </w:r>
      <w:r>
        <w:t xml:space="preserve"> </w:t>
      </w:r>
      <w:r w:rsidRPr="008737DE">
        <w:t>Low).</w:t>
      </w:r>
      <w:r>
        <w:t xml:space="preserve"> </w:t>
      </w:r>
    </w:p>
    <w:p w14:paraId="45FBDF5B" w14:textId="77777777" w:rsidR="00566F0C" w:rsidRPr="008737DE" w:rsidRDefault="00566F0C" w:rsidP="00566F0C">
      <w:pPr>
        <w:pStyle w:val="MBCtext"/>
        <w:ind w:left="450"/>
      </w:pPr>
      <w:r w:rsidRPr="008737DE">
        <w:t>Note:</w:t>
      </w:r>
      <w:r>
        <w:t xml:space="preserve"> A</w:t>
      </w:r>
      <w:r w:rsidRPr="008737DE">
        <w:t>n</w:t>
      </w:r>
      <w:r>
        <w:t xml:space="preserve"> </w:t>
      </w:r>
      <w:r w:rsidRPr="008737DE">
        <w:t>item</w:t>
      </w:r>
      <w:r>
        <w:t xml:space="preserve"> </w:t>
      </w:r>
      <w:r w:rsidRPr="008737DE">
        <w:t>lacks</w:t>
      </w:r>
      <w:r>
        <w:t xml:space="preserve"> </w:t>
      </w:r>
      <w:r w:rsidRPr="008737DE">
        <w:t>significance</w:t>
      </w:r>
      <w:r>
        <w:t xml:space="preserve"> </w:t>
      </w:r>
      <w:r w:rsidRPr="008737DE">
        <w:t>if</w:t>
      </w:r>
      <w:r>
        <w:t xml:space="preserve"> </w:t>
      </w:r>
      <w:r w:rsidRPr="008737DE">
        <w:t>no</w:t>
      </w:r>
      <w:r>
        <w:t xml:space="preserve"> </w:t>
      </w:r>
      <w:r w:rsidRPr="008737DE">
        <w:t>Primary</w:t>
      </w:r>
      <w:r>
        <w:t xml:space="preserve"> </w:t>
      </w:r>
      <w:r w:rsidRPr="008737DE">
        <w:t>Criteria</w:t>
      </w:r>
      <w:r>
        <w:t xml:space="preserve"> </w:t>
      </w:r>
      <w:r w:rsidRPr="008737DE">
        <w:t>are</w:t>
      </w:r>
      <w:r>
        <w:t xml:space="preserve"> </w:t>
      </w:r>
      <w:r w:rsidRPr="008737DE">
        <w:t>met.</w:t>
      </w:r>
      <w:r>
        <w:t xml:space="preserve"> </w:t>
      </w:r>
      <w:r w:rsidRPr="008737DE">
        <w:t>In</w:t>
      </w:r>
      <w:r>
        <w:t xml:space="preserve"> </w:t>
      </w:r>
      <w:r w:rsidRPr="008737DE">
        <w:t>this</w:t>
      </w:r>
      <w:r>
        <w:t xml:space="preserve"> </w:t>
      </w:r>
      <w:r w:rsidRPr="008737DE">
        <w:t>scenario</w:t>
      </w:r>
      <w:r>
        <w:t xml:space="preserve"> </w:t>
      </w:r>
      <w:r w:rsidRPr="008737DE">
        <w:t>an</w:t>
      </w:r>
      <w:r>
        <w:t xml:space="preserve"> </w:t>
      </w:r>
      <w:r w:rsidRPr="008737DE">
        <w:t>SOS</w:t>
      </w:r>
      <w:r>
        <w:t xml:space="preserve"> </w:t>
      </w:r>
      <w:r w:rsidRPr="008737DE">
        <w:t>is</w:t>
      </w:r>
      <w:r>
        <w:t xml:space="preserve"> </w:t>
      </w:r>
      <w:r w:rsidRPr="008737DE">
        <w:t>still</w:t>
      </w:r>
      <w:r>
        <w:t xml:space="preserve"> </w:t>
      </w:r>
      <w:r w:rsidRPr="008737DE">
        <w:t>prepared.</w:t>
      </w:r>
      <w:r>
        <w:t xml:space="preserve"> </w:t>
      </w:r>
      <w:r w:rsidRPr="008737DE">
        <w:t>(It</w:t>
      </w:r>
      <w:r>
        <w:t xml:space="preserve"> </w:t>
      </w:r>
      <w:r w:rsidRPr="008737DE">
        <w:t>may</w:t>
      </w:r>
      <w:r>
        <w:t xml:space="preserve"> </w:t>
      </w:r>
      <w:r w:rsidRPr="008737DE">
        <w:t>be</w:t>
      </w:r>
      <w:r>
        <w:t xml:space="preserve"> </w:t>
      </w:r>
      <w:r w:rsidRPr="008737DE">
        <w:t>thought</w:t>
      </w:r>
      <w:r>
        <w:t xml:space="preserve"> </w:t>
      </w:r>
      <w:r w:rsidRPr="008737DE">
        <w:t>of</w:t>
      </w:r>
      <w:r>
        <w:t xml:space="preserve"> </w:t>
      </w:r>
      <w:r w:rsidRPr="008737DE">
        <w:t>as</w:t>
      </w:r>
      <w:r>
        <w:t xml:space="preserve"> </w:t>
      </w:r>
      <w:r w:rsidRPr="008737DE">
        <w:t>a</w:t>
      </w:r>
      <w:r>
        <w:t xml:space="preserve"> </w:t>
      </w:r>
      <w:r w:rsidRPr="008737DE">
        <w:t>Statement</w:t>
      </w:r>
      <w:r>
        <w:t xml:space="preserve"> </w:t>
      </w:r>
      <w:r w:rsidRPr="008737DE">
        <w:t>of</w:t>
      </w:r>
      <w:r>
        <w:t xml:space="preserve"> </w:t>
      </w:r>
      <w:r w:rsidRPr="008737DE">
        <w:t>Insignificance,</w:t>
      </w:r>
      <w:r>
        <w:t xml:space="preserve"> </w:t>
      </w:r>
      <w:r w:rsidRPr="008737DE">
        <w:t>until</w:t>
      </w:r>
      <w:r>
        <w:t xml:space="preserve"> </w:t>
      </w:r>
      <w:r w:rsidRPr="008737DE">
        <w:t>such</w:t>
      </w:r>
      <w:r>
        <w:t xml:space="preserve"> </w:t>
      </w:r>
      <w:r w:rsidRPr="008737DE">
        <w:t>time</w:t>
      </w:r>
      <w:r>
        <w:t xml:space="preserve"> </w:t>
      </w:r>
      <w:r w:rsidRPr="008737DE">
        <w:t>that</w:t>
      </w:r>
      <w:r>
        <w:t xml:space="preserve"> </w:t>
      </w:r>
      <w:r w:rsidRPr="008737DE">
        <w:t>circumstances</w:t>
      </w:r>
      <w:r>
        <w:t xml:space="preserve"> </w:t>
      </w:r>
      <w:r w:rsidRPr="008737DE">
        <w:t>change</w:t>
      </w:r>
      <w:r>
        <w:t xml:space="preserve"> </w:t>
      </w:r>
      <w:r w:rsidRPr="008737DE">
        <w:t>and</w:t>
      </w:r>
      <w:r>
        <w:t xml:space="preserve"> </w:t>
      </w:r>
      <w:r w:rsidRPr="008737DE">
        <w:t>the</w:t>
      </w:r>
      <w:r>
        <w:t xml:space="preserve"> </w:t>
      </w:r>
      <w:r w:rsidRPr="008737DE">
        <w:t>item</w:t>
      </w:r>
      <w:r>
        <w:t xml:space="preserve"> </w:t>
      </w:r>
      <w:r w:rsidRPr="008737DE">
        <w:t>/</w:t>
      </w:r>
      <w:r>
        <w:t xml:space="preserve"> </w:t>
      </w:r>
      <w:r w:rsidRPr="008737DE">
        <w:t>collection</w:t>
      </w:r>
      <w:r>
        <w:t xml:space="preserve"> </w:t>
      </w:r>
      <w:r w:rsidRPr="008737DE">
        <w:t>is</w:t>
      </w:r>
      <w:r>
        <w:t xml:space="preserve"> </w:t>
      </w:r>
      <w:r w:rsidRPr="008737DE">
        <w:t>found</w:t>
      </w:r>
      <w:r>
        <w:t xml:space="preserve"> </w:t>
      </w:r>
      <w:r w:rsidRPr="008737DE">
        <w:t>to</w:t>
      </w:r>
      <w:r>
        <w:t xml:space="preserve"> </w:t>
      </w:r>
      <w:r w:rsidRPr="008737DE">
        <w:t>have</w:t>
      </w:r>
      <w:r>
        <w:t xml:space="preserve"> </w:t>
      </w:r>
      <w:r w:rsidRPr="008737DE">
        <w:t>acquired</w:t>
      </w:r>
      <w:r>
        <w:t xml:space="preserve"> </w:t>
      </w:r>
      <w:r w:rsidRPr="008737DE">
        <w:t>significance.)</w:t>
      </w:r>
    </w:p>
    <w:p w14:paraId="6AB47C9A" w14:textId="77777777" w:rsidR="00566F0C" w:rsidRPr="008737DE" w:rsidRDefault="00566F0C" w:rsidP="00566F0C">
      <w:pPr>
        <w:pStyle w:val="MBCbullet"/>
        <w:ind w:left="360"/>
      </w:pPr>
      <w:r w:rsidRPr="008737DE">
        <w:t>The</w:t>
      </w:r>
      <w:r>
        <w:t xml:space="preserve"> </w:t>
      </w:r>
      <w:r w:rsidRPr="00757105">
        <w:rPr>
          <w:i/>
          <w:iCs/>
        </w:rPr>
        <w:t>level</w:t>
      </w:r>
      <w:r>
        <w:t xml:space="preserve"> </w:t>
      </w:r>
      <w:r w:rsidRPr="008737DE">
        <w:t>of</w:t>
      </w:r>
      <w:r>
        <w:t xml:space="preserve"> </w:t>
      </w:r>
      <w:r w:rsidRPr="008737DE">
        <w:t>significance</w:t>
      </w:r>
      <w:r>
        <w:t xml:space="preserve"> </w:t>
      </w:r>
      <w:r w:rsidRPr="008737DE">
        <w:t>(local</w:t>
      </w:r>
      <w:r>
        <w:t xml:space="preserve"> </w:t>
      </w:r>
      <w:r w:rsidRPr="008737DE">
        <w:t>/</w:t>
      </w:r>
      <w:r>
        <w:t xml:space="preserve"> </w:t>
      </w:r>
      <w:r w:rsidRPr="008737DE">
        <w:t>regional</w:t>
      </w:r>
      <w:r>
        <w:t xml:space="preserve"> </w:t>
      </w:r>
      <w:r w:rsidRPr="008737DE">
        <w:t>/</w:t>
      </w:r>
      <w:r>
        <w:t xml:space="preserve"> </w:t>
      </w:r>
      <w:r w:rsidRPr="008737DE">
        <w:t>state</w:t>
      </w:r>
      <w:r>
        <w:t xml:space="preserve"> </w:t>
      </w:r>
      <w:r w:rsidRPr="008737DE">
        <w:t>/</w:t>
      </w:r>
      <w:r>
        <w:t xml:space="preserve"> </w:t>
      </w:r>
      <w:r w:rsidRPr="008737DE">
        <w:t>national</w:t>
      </w:r>
      <w:r>
        <w:t xml:space="preserve"> </w:t>
      </w:r>
      <w:r w:rsidRPr="008737DE">
        <w:t>/</w:t>
      </w:r>
      <w:r>
        <w:t xml:space="preserve"> </w:t>
      </w:r>
      <w:r w:rsidRPr="008737DE">
        <w:t>international).</w:t>
      </w:r>
      <w:r>
        <w:t xml:space="preserve"> </w:t>
      </w:r>
    </w:p>
    <w:p w14:paraId="291CFD62" w14:textId="77777777" w:rsidR="00566F0C" w:rsidRDefault="00566F0C" w:rsidP="00566F0C">
      <w:pPr>
        <w:pStyle w:val="MBCtext"/>
        <w:ind w:left="450"/>
      </w:pPr>
      <w:r w:rsidRPr="008737DE">
        <w:t>Note:</w:t>
      </w:r>
      <w:r>
        <w:t xml:space="preserve"> T</w:t>
      </w:r>
      <w:r w:rsidRPr="008737DE">
        <w:t>his</w:t>
      </w:r>
      <w:r>
        <w:t xml:space="preserve"> </w:t>
      </w:r>
      <w:r w:rsidRPr="008737DE">
        <w:t>is</w:t>
      </w:r>
      <w:r>
        <w:t xml:space="preserve"> </w:t>
      </w:r>
      <w:r w:rsidRPr="008737DE">
        <w:t>a</w:t>
      </w:r>
      <w:r>
        <w:t xml:space="preserve"> </w:t>
      </w:r>
      <w:r w:rsidRPr="008737DE">
        <w:t>bureaucratic</w:t>
      </w:r>
      <w:r>
        <w:t xml:space="preserve"> </w:t>
      </w:r>
      <w:r w:rsidRPr="008737DE">
        <w:t>threshold</w:t>
      </w:r>
      <w:r>
        <w:t xml:space="preserve"> </w:t>
      </w:r>
      <w:r w:rsidRPr="008737DE">
        <w:t>often</w:t>
      </w:r>
      <w:r>
        <w:t xml:space="preserve"> </w:t>
      </w:r>
      <w:r w:rsidRPr="008737DE">
        <w:t>required</w:t>
      </w:r>
      <w:r>
        <w:t xml:space="preserve"> </w:t>
      </w:r>
      <w:r w:rsidRPr="008737DE">
        <w:t>in</w:t>
      </w:r>
      <w:r>
        <w:t xml:space="preserve"> conjunction with </w:t>
      </w:r>
      <w:r w:rsidRPr="008737DE">
        <w:t>applications</w:t>
      </w:r>
      <w:r>
        <w:t xml:space="preserve"> </w:t>
      </w:r>
      <w:r w:rsidRPr="008737DE">
        <w:t>for</w:t>
      </w:r>
      <w:r>
        <w:t xml:space="preserve"> </w:t>
      </w:r>
      <w:r w:rsidRPr="008737DE">
        <w:t>public</w:t>
      </w:r>
      <w:r>
        <w:t xml:space="preserve"> </w:t>
      </w:r>
      <w:r w:rsidRPr="008737DE">
        <w:t>funds.</w:t>
      </w:r>
    </w:p>
    <w:p w14:paraId="7E65DB64" w14:textId="77777777" w:rsidR="00566F0C" w:rsidRPr="005A60BB" w:rsidRDefault="00566F0C" w:rsidP="00566F0C">
      <w:pPr>
        <w:pStyle w:val="ListParagraph"/>
        <w:ind w:left="0"/>
        <w:rPr>
          <w:bCs/>
          <w:lang w:val="en-US"/>
        </w:rPr>
      </w:pPr>
    </w:p>
    <w:sectPr w:rsidR="00566F0C" w:rsidRPr="005A60BB" w:rsidSect="009B25E6">
      <w:pgSz w:w="11906" w:h="16838" w:code="9"/>
      <w:pgMar w:top="1021" w:right="1418"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2CB"/>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9C5496"/>
    <w:multiLevelType w:val="hybridMultilevel"/>
    <w:tmpl w:val="AA4CB2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27B53CC"/>
    <w:multiLevelType w:val="hybridMultilevel"/>
    <w:tmpl w:val="23EC59F0"/>
    <w:lvl w:ilvl="0" w:tplc="B93CD482">
      <w:start w:val="1"/>
      <w:numFmt w:val="bullet"/>
      <w:pStyle w:val="MBC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95B6871"/>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69"/>
    <w:rsid w:val="0003530D"/>
    <w:rsid w:val="00037969"/>
    <w:rsid w:val="00045DA4"/>
    <w:rsid w:val="0007613E"/>
    <w:rsid w:val="0009631D"/>
    <w:rsid w:val="000F4212"/>
    <w:rsid w:val="00134CD6"/>
    <w:rsid w:val="0014737E"/>
    <w:rsid w:val="00161595"/>
    <w:rsid w:val="001A6F69"/>
    <w:rsid w:val="001E5ECD"/>
    <w:rsid w:val="002034A1"/>
    <w:rsid w:val="00205C1F"/>
    <w:rsid w:val="002068EB"/>
    <w:rsid w:val="00221214"/>
    <w:rsid w:val="00230858"/>
    <w:rsid w:val="00231A36"/>
    <w:rsid w:val="0025764E"/>
    <w:rsid w:val="002653EC"/>
    <w:rsid w:val="002B4E02"/>
    <w:rsid w:val="002D68D9"/>
    <w:rsid w:val="00333BA5"/>
    <w:rsid w:val="00357BDA"/>
    <w:rsid w:val="003768DC"/>
    <w:rsid w:val="003A1C70"/>
    <w:rsid w:val="003B4EC8"/>
    <w:rsid w:val="003B562E"/>
    <w:rsid w:val="003C5DBA"/>
    <w:rsid w:val="003C68A5"/>
    <w:rsid w:val="003D2C0D"/>
    <w:rsid w:val="004137CD"/>
    <w:rsid w:val="004318A0"/>
    <w:rsid w:val="00433DB2"/>
    <w:rsid w:val="0046133F"/>
    <w:rsid w:val="00472854"/>
    <w:rsid w:val="004766D0"/>
    <w:rsid w:val="004A4AE3"/>
    <w:rsid w:val="00544833"/>
    <w:rsid w:val="005634C6"/>
    <w:rsid w:val="0056405E"/>
    <w:rsid w:val="00566F0C"/>
    <w:rsid w:val="0057661F"/>
    <w:rsid w:val="005A60BB"/>
    <w:rsid w:val="005D01B0"/>
    <w:rsid w:val="00602D67"/>
    <w:rsid w:val="00615E5B"/>
    <w:rsid w:val="00667745"/>
    <w:rsid w:val="00671280"/>
    <w:rsid w:val="006C5963"/>
    <w:rsid w:val="00701784"/>
    <w:rsid w:val="00716497"/>
    <w:rsid w:val="00720C6B"/>
    <w:rsid w:val="00792DD1"/>
    <w:rsid w:val="007B39A2"/>
    <w:rsid w:val="007B5B40"/>
    <w:rsid w:val="007B7976"/>
    <w:rsid w:val="007F0505"/>
    <w:rsid w:val="007F0EBC"/>
    <w:rsid w:val="00801962"/>
    <w:rsid w:val="00803F6F"/>
    <w:rsid w:val="00873272"/>
    <w:rsid w:val="00894C52"/>
    <w:rsid w:val="008A02D7"/>
    <w:rsid w:val="008B273F"/>
    <w:rsid w:val="008C73C8"/>
    <w:rsid w:val="008E1A28"/>
    <w:rsid w:val="00957778"/>
    <w:rsid w:val="009640D2"/>
    <w:rsid w:val="009854AD"/>
    <w:rsid w:val="00997CB6"/>
    <w:rsid w:val="009A12C3"/>
    <w:rsid w:val="009B25E6"/>
    <w:rsid w:val="009B2962"/>
    <w:rsid w:val="009B37BE"/>
    <w:rsid w:val="009C081B"/>
    <w:rsid w:val="009D216C"/>
    <w:rsid w:val="009F1D6A"/>
    <w:rsid w:val="00A47BF5"/>
    <w:rsid w:val="00A63C0A"/>
    <w:rsid w:val="00AA3165"/>
    <w:rsid w:val="00AA6285"/>
    <w:rsid w:val="00AB48F9"/>
    <w:rsid w:val="00AE449F"/>
    <w:rsid w:val="00B00EDA"/>
    <w:rsid w:val="00B53D1C"/>
    <w:rsid w:val="00B74D81"/>
    <w:rsid w:val="00B756B4"/>
    <w:rsid w:val="00B86B1C"/>
    <w:rsid w:val="00BB0923"/>
    <w:rsid w:val="00C1601F"/>
    <w:rsid w:val="00C163BB"/>
    <w:rsid w:val="00C55E95"/>
    <w:rsid w:val="00C61DF1"/>
    <w:rsid w:val="00C75DEB"/>
    <w:rsid w:val="00C87BB1"/>
    <w:rsid w:val="00C972B0"/>
    <w:rsid w:val="00CA5811"/>
    <w:rsid w:val="00CB6372"/>
    <w:rsid w:val="00CC4CDD"/>
    <w:rsid w:val="00CF75FB"/>
    <w:rsid w:val="00D1554A"/>
    <w:rsid w:val="00D57427"/>
    <w:rsid w:val="00D86AD4"/>
    <w:rsid w:val="00DA036C"/>
    <w:rsid w:val="00DA7FB9"/>
    <w:rsid w:val="00DB7ED1"/>
    <w:rsid w:val="00DD0375"/>
    <w:rsid w:val="00DD322D"/>
    <w:rsid w:val="00DD622B"/>
    <w:rsid w:val="00DE0A6B"/>
    <w:rsid w:val="00DF1828"/>
    <w:rsid w:val="00DF5D01"/>
    <w:rsid w:val="00E14266"/>
    <w:rsid w:val="00E418B6"/>
    <w:rsid w:val="00E5254B"/>
    <w:rsid w:val="00E65C81"/>
    <w:rsid w:val="00E92BC1"/>
    <w:rsid w:val="00E953FF"/>
    <w:rsid w:val="00EA0109"/>
    <w:rsid w:val="00EA4773"/>
    <w:rsid w:val="00EE16E2"/>
    <w:rsid w:val="00EF1A87"/>
    <w:rsid w:val="00F13A8B"/>
    <w:rsid w:val="00F26B78"/>
    <w:rsid w:val="00F32DD8"/>
    <w:rsid w:val="00F7694A"/>
    <w:rsid w:val="00FB3D4F"/>
    <w:rsid w:val="00FB5296"/>
    <w:rsid w:val="00FB558E"/>
    <w:rsid w:val="00FB5E3F"/>
    <w:rsid w:val="00FE4A0C"/>
    <w:rsid w:val="00FF4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A7BD"/>
  <w15:chartTrackingRefBased/>
  <w15:docId w15:val="{68B1D741-F090-41A8-951F-8A17E679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69"/>
    <w:pPr>
      <w:spacing w:after="0" w:line="240" w:lineRule="auto"/>
    </w:pPr>
    <w:rPr>
      <w:rFonts w:eastAsia="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C1"/>
    <w:pPr>
      <w:ind w:left="720"/>
      <w:contextualSpacing/>
    </w:pPr>
  </w:style>
  <w:style w:type="character" w:styleId="Hyperlink">
    <w:name w:val="Hyperlink"/>
    <w:basedOn w:val="DefaultParagraphFont"/>
    <w:uiPriority w:val="99"/>
    <w:unhideWhenUsed/>
    <w:qFormat/>
    <w:rsid w:val="009F1D6A"/>
    <w:rPr>
      <w:color w:val="0563C1" w:themeColor="hyperlink"/>
      <w:u w:val="single"/>
    </w:rPr>
  </w:style>
  <w:style w:type="character" w:styleId="UnresolvedMention">
    <w:name w:val="Unresolved Mention"/>
    <w:basedOn w:val="DefaultParagraphFont"/>
    <w:uiPriority w:val="99"/>
    <w:semiHidden/>
    <w:unhideWhenUsed/>
    <w:rsid w:val="009F1D6A"/>
    <w:rPr>
      <w:color w:val="605E5C"/>
      <w:shd w:val="clear" w:color="auto" w:fill="E1DFDD"/>
    </w:rPr>
  </w:style>
  <w:style w:type="paragraph" w:customStyle="1" w:styleId="MBCbullet">
    <w:name w:val="MBC bullet"/>
    <w:basedOn w:val="MBCtext"/>
    <w:qFormat/>
    <w:rsid w:val="009D216C"/>
    <w:pPr>
      <w:numPr>
        <w:numId w:val="4"/>
      </w:numPr>
      <w:spacing w:after="0"/>
      <w:ind w:left="450"/>
    </w:pPr>
  </w:style>
  <w:style w:type="paragraph" w:customStyle="1" w:styleId="MBCtext">
    <w:name w:val="MBC text"/>
    <w:basedOn w:val="Normal"/>
    <w:qFormat/>
    <w:rsid w:val="009D216C"/>
    <w:pPr>
      <w:spacing w:before="120" w:after="120" w:line="300" w:lineRule="atLeast"/>
    </w:pPr>
    <w:rPr>
      <w:rFonts w:ascii="Georgia" w:hAnsi="Georgia" w:cstheme="minorBidi"/>
      <w:sz w:val="20"/>
    </w:rPr>
  </w:style>
  <w:style w:type="paragraph" w:customStyle="1" w:styleId="MBCspacer">
    <w:name w:val="MBC spacer"/>
    <w:basedOn w:val="MBCtext"/>
    <w:qFormat/>
    <w:rsid w:val="009D216C"/>
    <w:pPr>
      <w:spacing w:after="0" w:line="240" w:lineRule="auto"/>
    </w:pPr>
  </w:style>
  <w:style w:type="paragraph" w:customStyle="1" w:styleId="MBCtext-subhead">
    <w:name w:val="MBC text - subhead"/>
    <w:basedOn w:val="MBCtext"/>
    <w:qFormat/>
    <w:rsid w:val="009D216C"/>
    <w:rPr>
      <w:b/>
    </w:rPr>
  </w:style>
  <w:style w:type="paragraph" w:customStyle="1" w:styleId="MBCappendix-subhead">
    <w:name w:val="MBC appendix - subhead"/>
    <w:basedOn w:val="MBCtext-subhead"/>
    <w:qFormat/>
    <w:rsid w:val="009D216C"/>
    <w:pPr>
      <w:spacing w:after="360"/>
    </w:pPr>
    <w:rPr>
      <w:sz w:val="32"/>
    </w:rPr>
  </w:style>
  <w:style w:type="paragraph" w:customStyle="1" w:styleId="MBCtext-indented0-75">
    <w:name w:val="MBC text - indented 0-75"/>
    <w:basedOn w:val="MBCtext"/>
    <w:next w:val="MBCspacer"/>
    <w:qFormat/>
    <w:rsid w:val="009D216C"/>
    <w:pPr>
      <w:ind w:left="426"/>
    </w:pPr>
  </w:style>
  <w:style w:type="character" w:styleId="Emphasis">
    <w:name w:val="Emphasis"/>
    <w:basedOn w:val="DefaultParagraphFont"/>
    <w:uiPriority w:val="20"/>
    <w:qFormat/>
    <w:rsid w:val="00BB0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895717">
      <w:bodyDiv w:val="1"/>
      <w:marLeft w:val="0"/>
      <w:marRight w:val="0"/>
      <w:marTop w:val="0"/>
      <w:marBottom w:val="0"/>
      <w:divBdr>
        <w:top w:val="none" w:sz="0" w:space="0" w:color="auto"/>
        <w:left w:val="none" w:sz="0" w:space="0" w:color="auto"/>
        <w:bottom w:val="none" w:sz="0" w:space="0" w:color="auto"/>
        <w:right w:val="none" w:sz="0" w:space="0" w:color="auto"/>
      </w:divBdr>
    </w:div>
    <w:div w:id="18834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gov.au/resources-publications/industry-reports/significance-20" TargetMode="External"/><Relationship Id="rId5" Type="http://schemas.openxmlformats.org/officeDocument/2006/relationships/hyperlink" Target="https://web.archive.org.au/awa/20201127002150mp_/https:/significanceinternational.com/Portals/0/Documents/%28significance%2920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Birtley</dc:creator>
  <cp:keywords/>
  <dc:description/>
  <cp:lastModifiedBy>Margaret Birtley</cp:lastModifiedBy>
  <cp:revision>123</cp:revision>
  <dcterms:created xsi:type="dcterms:W3CDTF">2018-11-10T07:15:00Z</dcterms:created>
  <dcterms:modified xsi:type="dcterms:W3CDTF">2021-04-12T05:39:00Z</dcterms:modified>
</cp:coreProperties>
</file>